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D4" w:rsidRPr="00B968D4" w:rsidRDefault="00B968D4" w:rsidP="00B968D4">
      <w:pPr>
        <w:shd w:val="clear" w:color="auto" w:fill="FFFFFF"/>
        <w:spacing w:before="70" w:line="400" w:lineRule="atLeast"/>
        <w:textAlignment w:val="baseline"/>
        <w:outlineLvl w:val="0"/>
        <w:rPr>
          <w:rFonts w:ascii="Times New Roman" w:eastAsia="Times New Roman" w:hAnsi="Times New Roman" w:cs="Times New Roman"/>
          <w:color w:val="2F2F2F"/>
          <w:kern w:val="36"/>
          <w:sz w:val="34"/>
          <w:szCs w:val="34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kern w:val="36"/>
          <w:sz w:val="34"/>
          <w:szCs w:val="34"/>
          <w:lang w:eastAsia="ru-RU"/>
        </w:rPr>
        <w:t>Министерство труда и социальной защиты Российской Федерации: Письмо № 15-2/ООГ-3609 от 11.10.2016</w:t>
      </w:r>
    </w:p>
    <w:p w:rsidR="00B968D4" w:rsidRPr="00B968D4" w:rsidRDefault="00B968D4" w:rsidP="00B968D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666666"/>
          <w:sz w:val="13"/>
          <w:szCs w:val="13"/>
          <w:lang w:eastAsia="ru-RU"/>
        </w:rPr>
      </w:pPr>
      <w:r w:rsidRPr="00B968D4">
        <w:rPr>
          <w:rFonts w:ascii="Arial" w:eastAsia="Times New Roman" w:hAnsi="Arial" w:cs="Arial"/>
          <w:color w:val="666666"/>
          <w:sz w:val="13"/>
          <w:szCs w:val="13"/>
          <w:lang w:eastAsia="ru-RU"/>
        </w:rPr>
        <w:t>20.10.16 16:03</w:t>
      </w:r>
    </w:p>
    <w:p w:rsidR="00B968D4" w:rsidRPr="00B968D4" w:rsidRDefault="00B968D4" w:rsidP="00B968D4">
      <w:pPr>
        <w:shd w:val="clear" w:color="auto" w:fill="FFFFFF"/>
        <w:spacing w:after="0" w:line="180" w:lineRule="atLeast"/>
        <w:textAlignment w:val="top"/>
        <w:rPr>
          <w:rFonts w:ascii="Arial" w:eastAsia="Times New Roman" w:hAnsi="Arial" w:cs="Arial"/>
          <w:color w:val="666666"/>
          <w:sz w:val="13"/>
          <w:szCs w:val="13"/>
          <w:lang w:eastAsia="ru-RU"/>
        </w:rPr>
      </w:pPr>
      <w:r w:rsidRPr="00B968D4">
        <w:rPr>
          <w:rFonts w:ascii="Arial" w:eastAsia="Times New Roman" w:hAnsi="Arial" w:cs="Arial"/>
          <w:color w:val="666666"/>
          <w:sz w:val="13"/>
          <w:szCs w:val="13"/>
          <w:lang w:eastAsia="ru-RU"/>
        </w:rPr>
        <w:t>Просмотров: 290</w:t>
      </w:r>
    </w:p>
    <w:p w:rsidR="00B968D4" w:rsidRPr="00B968D4" w:rsidRDefault="00B968D4" w:rsidP="00B96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2F2F2F"/>
          <w:sz w:val="19"/>
          <w:szCs w:val="19"/>
          <w:lang w:eastAsia="ru-RU"/>
        </w:rPr>
        <w:drawing>
          <wp:inline distT="0" distB="0" distL="0" distR="0">
            <wp:extent cx="666750" cy="730250"/>
            <wp:effectExtent l="19050" t="0" r="0" b="0"/>
            <wp:docPr id="1" name="Рисунок 1" descr="http://www.klerk.ru/doc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erk.ru/doc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8D4" w:rsidRPr="00B968D4" w:rsidRDefault="00B968D4" w:rsidP="00B968D4">
      <w:pPr>
        <w:pBdr>
          <w:left w:val="single" w:sz="18" w:space="10" w:color="C00000"/>
        </w:pBdr>
        <w:shd w:val="clear" w:color="auto" w:fill="FFFFFF"/>
        <w:spacing w:before="420" w:after="210" w:line="340" w:lineRule="atLeast"/>
        <w:textAlignment w:val="baseline"/>
        <w:outlineLvl w:val="1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Министерство труда и социальной защиты Российской Федерации</w:t>
      </w:r>
    </w:p>
    <w:p w:rsidR="00B968D4" w:rsidRPr="00B968D4" w:rsidRDefault="00B968D4" w:rsidP="00B968D4">
      <w:pPr>
        <w:pBdr>
          <w:left w:val="single" w:sz="18" w:space="10" w:color="C00000"/>
        </w:pBdr>
        <w:shd w:val="clear" w:color="auto" w:fill="FFFFFF"/>
        <w:spacing w:before="420" w:after="210" w:line="340" w:lineRule="atLeast"/>
        <w:textAlignment w:val="baseline"/>
        <w:outlineLvl w:val="1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B968D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с </w:t>
      </w:r>
      <w:proofErr w:type="spellStart"/>
      <w:r w:rsidRPr="00B968D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ь</w:t>
      </w:r>
      <w:proofErr w:type="spellEnd"/>
      <w:r w:rsidRPr="00B968D4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 о</w:t>
      </w:r>
    </w:p>
    <w:p w:rsidR="00B968D4" w:rsidRPr="00B968D4" w:rsidRDefault="00B968D4" w:rsidP="00B968D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11.10.2016</w:t>
      </w:r>
    </w:p>
    <w:p w:rsidR="00B968D4" w:rsidRPr="00B968D4" w:rsidRDefault="00B968D4" w:rsidP="00B968D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№ 15-2/ООГ-3609</w:t>
      </w:r>
    </w:p>
    <w:p w:rsidR="00B968D4" w:rsidRPr="00B968D4" w:rsidRDefault="00B968D4" w:rsidP="00B96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br/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Департамент условий и охраны труда рассмотрел в пределах компетенции обращение по вопросу, связанному с обучением и проверкой знаний требований охраны труда в соответствии с Порядком обучения по охране труда и проверки знаний требований охраны труда работников организаций, утвержденный постановлением Минтруда России и Минобразования России от 13 января 2003 г. N 1/29 (далее - Порядок).</w:t>
      </w:r>
      <w:proofErr w:type="gramEnd"/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1, 2.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В соответствии со статьей 225 Трудового кодекса Российской Федерации все работники, в том числе руководители организаций, а также работодатели - индивидуальные предприниматели, обязаны проходить обучение по охране труда и проверку знания требований охраны труда в порядке,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социально-трудовых отношений.</w:t>
      </w:r>
      <w:proofErr w:type="gramEnd"/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В настоящее время вопросы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обучения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 и проверки знаний требований охраны труда урегулированы Порядком.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В соответствии с пунктом 1.5 Порядка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обучению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 и проверке знаний требований охраны труда в соответствии с Порядком подлежат все работники организации, в том числе ее руководитель.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Одновременно сообщаем о том, что проведение инструктажей по охране труда является одной из форм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обучения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труда. В этой связи проведение инструктажей по охране труда не может подменять другие виды и формы обучения (например, периодическую проверку знаний требований охраны труда).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3.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Пунктом 2.3.2 Порядка определено, что руководители организаций, заместители руководителей организаций, курирующие вопросы охраны труда, заместители главных инженеров по охране труда, работодатели - физические лица, иные лица, занимающиеся предпринимательской деятельностью, руководители, специалисты, инженерно-технические работники, осуществляющие организацию, руководство и проведение работ на рабочих местах и в производственных подразделениях, а также контроль и технический надзор за проведением работ, специалисты служб охраны труда, работники, на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которых работодателем возложены обязанности организации работы по охране труда, члены комитетов (комиссий) по охране труда, члены комиссий по проверке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знаний требований охраны труда организаций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проходят обучение по охране труда в обучающих организациях.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В соответствии с действующим законодательством вышеуказанные обучающие организации должны быть аккредитованы в соответствии с приказом </w:t>
      </w:r>
      <w:proofErr w:type="spell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Минздравсоцразвития</w:t>
      </w:r>
      <w:proofErr w:type="spell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России от 1 апреля 2010 г. N 205н "Об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труда" (далее - Приказ).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Одновременно поясняем, что для организации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обучения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 вышеуказанных лиц в самом хозяйствующем субъекте необходимо пройти обязательную аккредитацию в порядке, установленном Приказом.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При этом необходимо отметить, что согласно указанным Правилам организация, предполагающая осуществлять обучение работодателей и работников вопросам охраны труда, при прохождении аккредитации в соответствии с Приказом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указывает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в том числе сведения о документах, подтверждающих право на осуществление образовательной деятельности, выданных в установленном порядке уполномоченным органом исполнительной власти (в том числе о лицензии).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lastRenderedPageBreak/>
        <w:t>Остальные специалисты организации в соответствии с абзацем 10 пункта 2.3.2 Порядка могут проходить обучение и проверку знаний требований охраны труда в самой организации.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К вышеуказанной категории, по нашему мнению, относятся специалисты организаций, в должностные обязанности которых не входят функции, связанные с организацией, руководством и проведением работ на рабочих местах и в производственных подразделениях.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Для организации и проведения обучения по охране труда и проверки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знаний требований охраны труда данной категории специалистов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и работников рабочих профессий хозяйствующему субъекту аккредитация в соответствии с Приказом не требуется.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Дополнительно поясняем, что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 установлены Федеральным законом от 29 декабря 2012 г. N 273-ФЗ "Об образовании в Российской Федерации" (далее - Федеральный закон N 273-ФЗ), которым также определяется правовое положение участников отношений в сфере образования.</w:t>
      </w:r>
      <w:proofErr w:type="gramEnd"/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В соответствии со статьей 2 Федерального закона N 273-ФЗ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</w:t>
      </w:r>
      <w:proofErr w:type="gramEnd"/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В статье 10 Федерального закона N 273-ФЗ приведена структура системы образования, при этом в числе подвидов дополнительного образования указано дополнительное образование детей и взрослых.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В соответствии со статьей 75 Федерального закона N 273-ФЗ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В соответствии с пунктом 1.1 Порядок обучения по охране труда и проверки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знаний требований охраны труда работников организаций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разработан для обеспечения профилактических мер по сокращению производственного травматизма и профессиональных заболеваний и устанавливает общие положения обязательного обучения по охране труда и проверки знаний требований охраны труда всех работников.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Таким образом, задачей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обучения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 является повышение уровня знаний, умений, навыков и компетенции специалистов, обновление ранее приобретенных ими знаний.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На основании вышеизложенного, по мнению Департамента,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обучение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 работодателей и работников организаций является видом образовательной деятельности, требования к которой содержатся в законодательстве Российской Федерации об образовании. Указанное обучение можно отнести к дополнительному образованию, подвиду - дополнительное образование детей и взрослых.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В этой связи, организации, оказывающие услуги по обучению работодателей и работников вопросам охраны труда, должны иметь документ, подтверждающий право осуществления образовательной деятельности (лицензию на осуществление образовательной деятельности, с указанием подвида дополнительного образования), выданный в установленном порядке уполномоченным органом исполнительной власти.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4, 5. Необходимость проведения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обучения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 вновь поступающих работников обусловлена различным характером производственной деятельности хозяйствующих субъектов, наличием своих локальных нормативных актов, содержащих требования охраны труда в соответствии со спецификой своей деятельности, правил и инструкций по охране труда.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Учитывая вышеизложенное, поясняем, что все поступающие на работу в организацию лица, в том числе и внешние совместители, обязаны проходить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обучение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 и проверку знаний требований охраны труда вне зависимости от того, проходил ли работник обучение по охране труда в период работы в другом хозяйствующем субъекте.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6. Согласно пункту 3.5 Порядка проверка знаний требований охраны труда работников, в том числе руководителей, организаций проводится в соответствии с нормативными правовыми актами по охране труда, обеспечение и соблюдение требований которых входит в их обязанности с учетом их должностных обязанностей, характера производственной деятельности.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Пунктом 3.8 Порядка определено, что работник, не прошедший проверку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lastRenderedPageBreak/>
        <w:t xml:space="preserve">В этой связи поясняем, что проверка знаний требований охраны труда проводится после прохождения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обучения по охране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труда работниками организации в соответствии с Порядком.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7. Согласно пункту 2.2.3 Порядка порядок, форма, периодичность и продолжительность обучения по охране труда и проверки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знаний требований охраны труда работников рабочих профессий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Дополнительно сообщаем, что в целях совершенствования законодательства Российской Федерации об охране труда Минтрудом России проводятся мероприятия по разработке законопроекта "О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заболеваемости)", которым в том числе предполагается изложение раздела X "Охрана труда" Трудового кодекса Российской Федерации в новой редакции.</w:t>
      </w:r>
      <w:proofErr w:type="gramEnd"/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После внесения вышеуказанных изменений, включая изменения в статью 225 Трудового кодекса Российской Федерации, будет проведена работа по пересмотру действующего Порядка обучения по охране труда и проверки </w:t>
      </w:r>
      <w:proofErr w:type="gramStart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знаний требований охраны труда работников</w:t>
      </w:r>
      <w:proofErr w:type="gramEnd"/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 xml:space="preserve"> организаций, утвержденного постановлением Минтруда России и Минобразования России от 13 января 2003 г. N 1/29.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 </w:t>
      </w:r>
    </w:p>
    <w:p w:rsidR="00B968D4" w:rsidRPr="00B968D4" w:rsidRDefault="00B968D4" w:rsidP="00B968D4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Заместитель директора</w:t>
      </w:r>
    </w:p>
    <w:p w:rsidR="00B968D4" w:rsidRPr="00B968D4" w:rsidRDefault="00B968D4" w:rsidP="00B968D4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Департамента условий</w:t>
      </w:r>
    </w:p>
    <w:p w:rsidR="00B968D4" w:rsidRPr="00B968D4" w:rsidRDefault="00B968D4" w:rsidP="00B968D4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и охраны труда</w:t>
      </w:r>
    </w:p>
    <w:p w:rsidR="00B968D4" w:rsidRPr="00B968D4" w:rsidRDefault="00B968D4" w:rsidP="00B968D4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Т.М.ЖИГАСТОВА</w:t>
      </w:r>
    </w:p>
    <w:p w:rsidR="00B968D4" w:rsidRPr="00B968D4" w:rsidRDefault="00B968D4" w:rsidP="00B968D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</w:pPr>
      <w:r w:rsidRPr="00B968D4">
        <w:rPr>
          <w:rFonts w:ascii="Times New Roman" w:eastAsia="Times New Roman" w:hAnsi="Times New Roman" w:cs="Times New Roman"/>
          <w:color w:val="2F2F2F"/>
          <w:sz w:val="19"/>
          <w:szCs w:val="19"/>
          <w:lang w:eastAsia="ru-RU"/>
        </w:rPr>
        <w:t> </w:t>
      </w:r>
    </w:p>
    <w:p w:rsidR="00840C17" w:rsidRDefault="00840C17"/>
    <w:sectPr w:rsidR="00840C17" w:rsidSect="0084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8D4"/>
    <w:rsid w:val="00840C17"/>
    <w:rsid w:val="00B9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17"/>
  </w:style>
  <w:style w:type="paragraph" w:styleId="1">
    <w:name w:val="heading 1"/>
    <w:basedOn w:val="a"/>
    <w:link w:val="10"/>
    <w:uiPriority w:val="9"/>
    <w:qFormat/>
    <w:rsid w:val="00B96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8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68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15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Зоя</cp:lastModifiedBy>
  <cp:revision>1</cp:revision>
  <dcterms:created xsi:type="dcterms:W3CDTF">2016-11-14T19:11:00Z</dcterms:created>
  <dcterms:modified xsi:type="dcterms:W3CDTF">2016-11-14T19:11:00Z</dcterms:modified>
</cp:coreProperties>
</file>